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6EA" w:rsidRDefault="00F646EA" w:rsidP="00F646EA">
      <w:r>
        <w:t>AVRUPA PARLAMENTOSU VE KONSEYİ YÖNERGESİ (AB) 2019/2161</w:t>
      </w:r>
    </w:p>
    <w:p w:rsidR="00F646EA" w:rsidRDefault="00F646EA" w:rsidP="00F646EA"/>
    <w:p w:rsidR="00F646EA" w:rsidRDefault="00F646EA" w:rsidP="00F646EA">
      <w:r>
        <w:t xml:space="preserve"> 27 Kasım 2019</w:t>
      </w:r>
    </w:p>
    <w:p w:rsidR="00F646EA" w:rsidRDefault="00F646EA" w:rsidP="00F646EA"/>
    <w:p w:rsidR="00F646EA" w:rsidRDefault="00F646EA" w:rsidP="00F646EA">
      <w:r>
        <w:t xml:space="preserve"> Birlik tüketici koruma kurallarının daha iyi uygulanması ve modernizasyonu ile ilgili olarak 93/13 / EEC Konsey Direktifi ve 98/6 / EC, 2005/29 / EC ve 2011/83 / EU Direktiflerinde değişiklik yapılması</w:t>
      </w:r>
    </w:p>
    <w:p w:rsidR="00F646EA" w:rsidRDefault="00F646EA" w:rsidP="00F646EA"/>
    <w:p w:rsidR="00F646EA" w:rsidRDefault="00F646EA" w:rsidP="00F646EA">
      <w:r>
        <w:t xml:space="preserve"> (AÇA ile alakalı metin)</w:t>
      </w:r>
    </w:p>
    <w:p w:rsidR="00F646EA" w:rsidRDefault="00F646EA" w:rsidP="00F646EA"/>
    <w:p w:rsidR="00F646EA" w:rsidRDefault="00F646EA" w:rsidP="00F646EA">
      <w:r>
        <w:t xml:space="preserve"> AVRUPA PARLAMENTOSU VE AVRUPA BİRLİĞİ KONSEYİ,</w:t>
      </w:r>
    </w:p>
    <w:p w:rsidR="00F646EA" w:rsidRDefault="00F646EA" w:rsidP="00F646EA">
      <w:r>
        <w:t xml:space="preserve"> Avrupa Birliği'nin İşleyişine İlişkin Antlaşma ve özellikle 114. Maddesini dikkate alarak,</w:t>
      </w:r>
    </w:p>
    <w:p w:rsidR="00F646EA" w:rsidRDefault="00F646EA" w:rsidP="00F646EA">
      <w:r>
        <w:t xml:space="preserve"> Avrupa Komisyonu'nun teklifini göz önünde bulundurarak,</w:t>
      </w:r>
    </w:p>
    <w:p w:rsidR="00F646EA" w:rsidRDefault="00F646EA" w:rsidP="00F646EA">
      <w:r>
        <w:t xml:space="preserve"> Yasama tasarısının ulusal parlamentolara iletilmesinden sonra,</w:t>
      </w:r>
    </w:p>
    <w:p w:rsidR="00F646EA" w:rsidRDefault="00F646EA" w:rsidP="00F646EA">
      <w:r>
        <w:t xml:space="preserve"> Avrupa Ekonomik ve Sosyal Komitesinin görüşünü dikkate alarak (1),</w:t>
      </w:r>
    </w:p>
    <w:p w:rsidR="00F646EA" w:rsidRDefault="00F646EA" w:rsidP="00F646EA">
      <w:r>
        <w:t xml:space="preserve"> Olağan yasama usulü uyarınca hareket etmek (2),</w:t>
      </w:r>
    </w:p>
    <w:p w:rsidR="00F646EA" w:rsidRDefault="00F646EA" w:rsidP="00F646EA">
      <w:r>
        <w:t xml:space="preserve"> Buna karşılık:</w:t>
      </w:r>
    </w:p>
    <w:p w:rsidR="00F646EA" w:rsidRDefault="00F646EA" w:rsidP="00F646EA">
      <w:r>
        <w:t xml:space="preserve"> (1)</w:t>
      </w:r>
    </w:p>
    <w:p w:rsidR="00F646EA" w:rsidRDefault="00F646EA" w:rsidP="00F646EA">
      <w:r>
        <w:t xml:space="preserve"> Avrupa Birliği'nin İşleyişine İlişkin Antlaşma (TFEU) '</w:t>
      </w:r>
      <w:proofErr w:type="spellStart"/>
      <w:r>
        <w:t>nun</w:t>
      </w:r>
      <w:proofErr w:type="spellEnd"/>
      <w:r>
        <w:t xml:space="preserve"> 169 (1) maddesi ve 169 (2) maddesinin (a) bendi, Birliğin tedbirler yoluyla yüksek düzeyde tüketici korumasına erişimine katkıda bulunmasını öngörmektedir.  TFEU ​​114. madde uyarınca kabul edilmiştir.  Avrupa Birliği Temel Haklar Şartı'nın 38. Maddesi (“Şart”), Birlik politikalarının yüksek düzeyde tüketici koruması sağlamasını öngörmektedir.</w:t>
      </w:r>
    </w:p>
    <w:p w:rsidR="00F646EA" w:rsidRDefault="00F646EA" w:rsidP="00F646EA">
      <w:r>
        <w:t xml:space="preserve"> (2)</w:t>
      </w:r>
    </w:p>
    <w:p w:rsidR="00F646EA" w:rsidRDefault="00F646EA" w:rsidP="00F646EA">
      <w:r>
        <w:t xml:space="preserve"> Tüketici koruma kanunu Birlik genelinde etkin bir şekilde uygulanmalıdır.  Bununla birlikte, Düzenleyici Uygunluk ve Performans (REFIT) programı çerçevesinde 2016 ve 2017 yıllarında Komisyon tarafından yürütülen tüketici ve pazarlama yasasının kapsamlı </w:t>
      </w:r>
      <w:proofErr w:type="spellStart"/>
      <w:r>
        <w:t>Fitness</w:t>
      </w:r>
      <w:proofErr w:type="spellEnd"/>
      <w:r>
        <w:t xml:space="preserve"> Kontrolü, Birlik tüketici koruma yasasının etkinliğinin,  hem tüccarlar hem de tüketiciler ve mevcut düzeltme araçlarından daha sık yararlanılabilir.</w:t>
      </w:r>
    </w:p>
    <w:p w:rsidR="00F646EA" w:rsidRDefault="00F646EA" w:rsidP="00F646EA">
      <w:r>
        <w:t xml:space="preserve"> (3)</w:t>
      </w:r>
    </w:p>
    <w:p w:rsidR="00F646EA" w:rsidRDefault="00F646EA" w:rsidP="00F646EA">
      <w:r>
        <w:t xml:space="preserve"> Birlik, tüketici hakları, tüccarlar ve hukukçular arasında tüketici hakları konusunda farkındalığı artırmak ve tüketici haklarının uygulanmasını ve tüketici tazminini geliştirmek için bir dizi önlem almıştır.  Bununla birlikte, ulusal hukukta, Birlik içi ihlalleri caydırmak ve yaptırımlara gerçekten etkili ve orantılı cezalar, Avrupa Parlamentosu ve Konseyinin 2005/29 / EC sayılı Direktifini ihlal eden ulusal mevzuat ihlallerinden zarar gören tüketiciler için yetersiz bireysel çözümler konusunda kalan boşluklar bulunmaktadır.  (3) ve Avrupa Parlamentosu ve Konsey (4) 2009/22 / EC Yönergesi uyarınca ihtiyati tedbirle ilgili eksiklikler.  Tedbir </w:t>
      </w:r>
      <w:proofErr w:type="gramStart"/>
      <w:r>
        <w:t>prosedürünün</w:t>
      </w:r>
      <w:proofErr w:type="gramEnd"/>
      <w:r>
        <w:t xml:space="preserve"> revize edilmesi, Direktif 2009/22 / </w:t>
      </w:r>
      <w:proofErr w:type="spellStart"/>
      <w:r>
        <w:t>EC'yi</w:t>
      </w:r>
      <w:proofErr w:type="spellEnd"/>
      <w:r>
        <w:t xml:space="preserve"> değiştiren ve değiştiren ayrı bir cihazla ele alınmalıdır.</w:t>
      </w:r>
    </w:p>
    <w:p w:rsidR="00F646EA" w:rsidRDefault="00F646EA" w:rsidP="00F646EA">
      <w:r>
        <w:lastRenderedPageBreak/>
        <w:t xml:space="preserve"> (4)</w:t>
      </w:r>
    </w:p>
    <w:p w:rsidR="00F646EA" w:rsidRDefault="00F646EA" w:rsidP="00F646EA">
      <w:r>
        <w:t xml:space="preserve"> Avrupa Parlamentosu ve Konseyinin 98/6 / EC (5), 2005/29 / EC ve 2011/83 / EU (6) Direktifleri, Üye Devletlerin aşağıdaki ihlalleri ele almak için etkili, orantılı ve caydırıcı cezalar sunma şartlarını </w:t>
      </w:r>
      <w:proofErr w:type="gramStart"/>
      <w:r>
        <w:t>içerir  bu</w:t>
      </w:r>
      <w:proofErr w:type="gramEnd"/>
      <w:r>
        <w:t xml:space="preserve"> Direktifleri aktaran ulusal hükümler.  Ayrıca, Avrupa Parlamentosu ve Konseyinin (7) 2017/2394 sayılı Tüzüğü'nün 21'inci maddesi, Üye Devletlerin, sona erdirmeyi sağlamak için etkili, verimli ve koordineli bir şekilde cezaların uygulanması da dahil olmak üzere yaptırım önlemleri almasını </w:t>
      </w:r>
      <w:proofErr w:type="gramStart"/>
      <w:r>
        <w:t>veya  Birlik</w:t>
      </w:r>
      <w:proofErr w:type="gramEnd"/>
      <w:r>
        <w:t xml:space="preserve"> boyutu ile yaygın ihlallerin veya yaygın ihlallerin yasaklanması.</w:t>
      </w:r>
    </w:p>
    <w:p w:rsidR="00F646EA" w:rsidRDefault="00F646EA" w:rsidP="00F646EA">
      <w:r>
        <w:t xml:space="preserve"> (5)</w:t>
      </w:r>
    </w:p>
    <w:p w:rsidR="00F646EA" w:rsidRDefault="00F646EA" w:rsidP="00F646EA">
      <w:r>
        <w:t xml:space="preserve"> Mevcut ulusal ceza kuralları Birlik arasında önemli ölçüde farklılık göstermektedir.  Özellikle, tüm Üye Devletler, Birlik boyutunda yaygın ihlallerden veya yaygın ihlallerden sorumlu tüccarlara etkili, orantılı ve caydırıcı para cezaları uygulanmasını sağlamamaktadır.  Bu nedenle, 98/6 / EC, 2005/29 / EC ve 2011/83 / EU Direktiflerinin cezalarına ilişkin mevcut kurallar iyileştirilmeli ve aynı zamanda Konsey Direktifi 93/13 / EEC (8)  </w:t>
      </w:r>
      <w:proofErr w:type="gramStart"/>
      <w:r>
        <w:t>)</w:t>
      </w:r>
      <w:proofErr w:type="gramEnd"/>
      <w:r>
        <w:t xml:space="preserve"> kullanılmalıdır.</w:t>
      </w:r>
    </w:p>
    <w:p w:rsidR="00F646EA" w:rsidRDefault="00F646EA" w:rsidP="00F646EA">
      <w:r>
        <w:t xml:space="preserve"> (6)</w:t>
      </w:r>
    </w:p>
    <w:p w:rsidR="00F646EA" w:rsidRDefault="00F646EA" w:rsidP="00F646EA">
      <w:r>
        <w:t xml:space="preserve"> Üye Devletlerin uygulanacak ceza türlerini seçmeleri ve 93/13 / EEC, 98/6 Direktiflerinin ihlali durumunda cezaların uygulanması için ilgili </w:t>
      </w:r>
      <w:proofErr w:type="gramStart"/>
      <w:r>
        <w:t>prosedürleri</w:t>
      </w:r>
      <w:proofErr w:type="gramEnd"/>
      <w:r>
        <w:t xml:space="preserve"> ulusal yasalarında belirtmeleri bir mesele olarak kalmalıdır.  / EC, 2005/29 / EC ve 2011/83 / EU bu Direktif ile değiştirilmiştir.</w:t>
      </w:r>
    </w:p>
    <w:p w:rsidR="00F646EA" w:rsidRDefault="00F646EA" w:rsidP="00F646EA">
      <w:r>
        <w:t xml:space="preserve"> (7)</w:t>
      </w:r>
    </w:p>
    <w:p w:rsidR="00F646EA" w:rsidRDefault="00F646EA" w:rsidP="00F646EA">
      <w:r>
        <w:t xml:space="preserve"> Özellikle Birlik içi ihlaller, yaygın ihlaller ve (AB) 2017/2394 Yönetmeliğinde tanımlanan Birlik boyutu ile yaygın ihlaller durumunda, cezaların uygulanması için yaygın kapsamlı ve gösterge niteliğinde </w:t>
      </w:r>
      <w:proofErr w:type="gramStart"/>
      <w:r>
        <w:t>kriterler</w:t>
      </w:r>
      <w:proofErr w:type="gramEnd"/>
      <w:r>
        <w:t xml:space="preserve"> söz konusu olduğunda, cezaların daha tutarlı bir şekilde uygulanmasını kolaylaştırmak.  </w:t>
      </w:r>
      <w:proofErr w:type="gramStart"/>
      <w:r>
        <w:t>cezalar</w:t>
      </w:r>
      <w:proofErr w:type="gramEnd"/>
      <w:r>
        <w:t xml:space="preserve"> 93/13 / EEC, 98/6 / EC, 2005/29 / EC ve 2011/83 / EU Direktiflerine dahil edilmelidir.  Bu </w:t>
      </w:r>
      <w:proofErr w:type="gramStart"/>
      <w:r>
        <w:t>kriterler</w:t>
      </w:r>
      <w:proofErr w:type="gramEnd"/>
      <w:r>
        <w:t>, örneğin ihlalin niteliği, yerçekimi, ölçeği ve süresini ve tüccar tarafından verilen zarar için tüketicilere sağlanan herhangi bir düzeltmeyi içermelidir.  Aynı fail tarafından tekrarlanan ihlal, bu tür ihlalleri gerçekleştirme eğilimi gösterir ve bu nedenle davranışın ciddiyetinin ve buna bağlı olarak etkili caydırıcılığa ulaşmak için ceza seviyesinin artırılması ihtiyacının önemli bir göstergesidir.  İlgili veriler mevcutsa, ihlal nedeniyle kazanılan mali faydalar veya kaçınılan zararlar dikkate alınmalıdır.  Davanın koşulları için geçerli olan diğer ağırlaştırıcı veya hafifletici faktörler de dikkate alınabilir.</w:t>
      </w:r>
    </w:p>
    <w:p w:rsidR="00F646EA" w:rsidRDefault="00F646EA" w:rsidP="00F646EA">
      <w:r>
        <w:t xml:space="preserve"> (8)</w:t>
      </w:r>
    </w:p>
    <w:p w:rsidR="00F646EA" w:rsidRDefault="00F646EA" w:rsidP="00F646EA">
      <w:r>
        <w:t xml:space="preserve"> Cezaların uygulanmasına ilişkin bu yaygın kapsamlı ve gösterge niteliğindeki ölçütler, her ihlale ilişkin cezalara, özellikle ciddi olmayan ihlallere ilişkin olarak karar vermeyle ilgili olmayabilir.  Üye Devletler, aynı zamanda, </w:t>
      </w:r>
      <w:proofErr w:type="spellStart"/>
      <w:r>
        <w:t>bis</w:t>
      </w:r>
      <w:proofErr w:type="spellEnd"/>
      <w:r>
        <w:t xml:space="preserve"> olarak idem olmayanlar ilkesi gibi, cezaların uygulanmasına uygulanabilecek diğer genel hukuk ilkelerini de dikkate almalıdır.</w:t>
      </w:r>
    </w:p>
    <w:p w:rsidR="00F646EA" w:rsidRDefault="00F646EA" w:rsidP="00F646EA">
      <w:r>
        <w:t xml:space="preserve"> (9)</w:t>
      </w:r>
    </w:p>
    <w:p w:rsidR="00F646EA" w:rsidRDefault="00F646EA" w:rsidP="00F646EA">
      <w:r>
        <w:t xml:space="preserve"> (AB) 2017/2394 sayılı Tüzüğün 21. Maddesi uyarınca, Üye Devletlerin koordineli eylemden sorumlu yetkili makamları, geniş bir ihlalden veya Bir Birlik boyutuyla yaygın ihlalden sorumlu tüccara karşı gerekli tüm yaptırım tedbirlerini kendi yetkileri </w:t>
      </w:r>
      <w:proofErr w:type="gramStart"/>
      <w:r>
        <w:t>dahilinde</w:t>
      </w:r>
      <w:proofErr w:type="gramEnd"/>
      <w:r>
        <w:t xml:space="preserve"> alacaklardır.  </w:t>
      </w:r>
      <w:proofErr w:type="gramStart"/>
      <w:r>
        <w:t>bu</w:t>
      </w:r>
      <w:proofErr w:type="gramEnd"/>
      <w:r>
        <w:t xml:space="preserve"> ihlalin durdurulmasını veya yasaklanmasını sağlamak.  Uygun olan yerlerde, yaygın bir ihlalden veya Birlik boyutu ile yaygın ihlalden sorumlu tüccar üzerine para cezası veya periyodik ceza ödemeleri gibi cezalar uygulayacaklardır.  Uygulama önlemleri, yaygın bir ihlalin veya Bir Birlik boyutuyla yaygın ihlalin durdurulmasını veya yasaklanmasını sağlamak için etkili, verimli ve koordineli bir şekilde alınmalıdır.  </w:t>
      </w:r>
      <w:r>
        <w:lastRenderedPageBreak/>
        <w:t>Koordine edilen eylemden sorumlu yetkili makamlar, söz konusu ihlale ilişkin Üye Devletlerde eş zamanlı olarak icra tedbirleri almaya çalışmalıdır.</w:t>
      </w:r>
    </w:p>
    <w:p w:rsidR="00F646EA" w:rsidRDefault="00F646EA" w:rsidP="00F646EA">
      <w:r>
        <w:t xml:space="preserve"> (10)</w:t>
      </w:r>
    </w:p>
    <w:p w:rsidR="00F646EA" w:rsidRDefault="00F646EA" w:rsidP="00F646EA">
      <w:r>
        <w:t xml:space="preserve"> Üye Devletlerin makamlarının, 2017/2394 sayılı Tüzük uyarınca (AB) koordinasyonlu soruşturma ve yaptırım önlemlerine tabi olan Birlik boyutuna sahip yaygın ihlallerin ve yaygın ihlallerin etkili, orantılı ve caydırıcı cezalar verebilmesini sağlamak için para </w:t>
      </w:r>
      <w:proofErr w:type="gramStart"/>
      <w:r>
        <w:t>cezaları  bu</w:t>
      </w:r>
      <w:proofErr w:type="gramEnd"/>
      <w:r>
        <w:t xml:space="preserve"> tür ihlaller için bir ceza unsuru olarak tanıtılabilir.  Cezaların caydırıcı bir etkiye sahip olmasını sağlamak için, Üye Devletler, kendi ulusal kanunlarında, bu tür ihlaller için ilgili Üye Devlet veya ilgili Üye Devletlerde yıllık tüccarın yıllık cirosunun en az% 4'ü kadar bir azami para cezası belirlemelidir.  Bazı durumlarda, bir tüccar bir grup şirket de olabilir.</w:t>
      </w:r>
    </w:p>
    <w:p w:rsidR="00F646EA" w:rsidRDefault="00F646EA" w:rsidP="00F646EA">
      <w:r>
        <w:t xml:space="preserve"> (11)</w:t>
      </w:r>
    </w:p>
    <w:p w:rsidR="00F646EA" w:rsidRDefault="00F646EA" w:rsidP="00F646EA">
      <w:r>
        <w:t xml:space="preserve"> (AB) 2017/2394 sayılı Tüzüğün 9 ve 10. maddelerinde belirtildiği gibi, cezalar uygulanırken, söz konusu ihlalin niteliği, yerçekimi ve süresine uygun bir şekilde dikkat edilmelidir.  Cezaların uygulanması orantılı olmalı ve geçerli usul güvenceleri ve </w:t>
      </w:r>
      <w:proofErr w:type="spellStart"/>
      <w:r>
        <w:t>Şart'ın</w:t>
      </w:r>
      <w:proofErr w:type="spellEnd"/>
      <w:r>
        <w:t xml:space="preserve"> ilkeleri de </w:t>
      </w:r>
      <w:proofErr w:type="gramStart"/>
      <w:r>
        <w:t>dahil</w:t>
      </w:r>
      <w:proofErr w:type="gramEnd"/>
      <w:r>
        <w:t xml:space="preserve"> olmak üzere Birlik ve ulusal yasalara uygun olmalıdır.  Son olarak, verilen cezalar, tüketicilerin çıkarlarını koruyan Birlik yasalarının ihlalinin niteliğine ve genel fiili veya potansiyel zararına uygun olmalıdır.  Ceza verme yetkisi ya doğrudan kendi yetkileri altındaki yetkili makamlar tarafından ya da uygun olduğunda, diğer yetkili makamlara ya da diğer kamu makamlarına başvurarak ya da varsa belirlenmiş organlara talimat vererek ya da yetkili mahkemelere başvurarak uygulanmalıdır.  Gerekli kararın verilmesi için yapılan başvurunun başarılı olmaması halinde, uygun olan durumlarda, temyiz yoluyla olmak üzere gerekli kararı vermek.</w:t>
      </w:r>
    </w:p>
    <w:p w:rsidR="00F646EA" w:rsidRDefault="00F646EA" w:rsidP="00F646EA">
      <w:r>
        <w:t xml:space="preserve"> (12)</w:t>
      </w:r>
    </w:p>
    <w:p w:rsidR="00F646EA" w:rsidRDefault="00F646EA" w:rsidP="00F646EA">
      <w:r>
        <w:t xml:space="preserve"> (AB) 2017/2394 Yönetmeliği uyarınca koordine edilen eylemin sonucu olarak, bu Yönetmelik anlamında tek bir yetkili makamın, yaygın bir ihlalden veya Birlik boyutuyla yaygın ihlalden sorumlu tüccara para cezası vermesi durumunda,  Koordine edilen icra eylemiyle ilgili tüm Üye Devletlerde tüccarın yıllık cirosunun en az% 4'ünün para cezasına çarptırılabilmesi.</w:t>
      </w:r>
    </w:p>
    <w:p w:rsidR="00F646EA" w:rsidRDefault="00F646EA" w:rsidP="00F646EA">
      <w:r>
        <w:t xml:space="preserve"> (13)</w:t>
      </w:r>
    </w:p>
    <w:p w:rsidR="00F646EA" w:rsidRDefault="00F646EA" w:rsidP="00F646EA">
      <w:r>
        <w:t xml:space="preserve"> Üye Devletlerin, geniş çaplı ihlaller ve Birlik boyutunda yaygın ihlaller için kendi ulusal kanunlarında daha yüksek azami ciro temelli para cezalarını korumaları veya tanıtmaları engellenmemelidir.  Üye Devletlerin bu tür cezaları tüccarın dünya çapında cirosuna dayandırması veya para cezalarına ilişkin kuralları, (AB) 2017/2394 sayılı Tüzüğün 21. Maddesi ile ilgili bu hüküm kapsamına girmeyen diğer ihlallere de genişletmesi mümkün olmalıdır.  Para cezasının, tüccarın yıllık cirosunun% 4'ünden az olmayacak bir seviyeye getirilmesi şartı, herhangi bir karara, siparişe, ara ödemeye uymamak için günlük para cezaları gibi periyodik ceza ödemelerine ilişkin ilave Üye Devlet kurallarına uygulanmamalıdır.  </w:t>
      </w:r>
      <w:proofErr w:type="gramStart"/>
      <w:r>
        <w:t>ihlalin</w:t>
      </w:r>
      <w:proofErr w:type="gramEnd"/>
      <w:r>
        <w:t xml:space="preserve"> sona erdirilmesi amacıyla tedbir, tüccarın taahhüdü veya diğer tedbirler.</w:t>
      </w:r>
    </w:p>
    <w:p w:rsidR="00F646EA" w:rsidRDefault="00F646EA" w:rsidP="00F646EA">
      <w:r>
        <w:t xml:space="preserve"> (14)</w:t>
      </w:r>
    </w:p>
    <w:p w:rsidR="00F646EA" w:rsidRDefault="00F646EA" w:rsidP="00F646EA">
      <w:r>
        <w:t xml:space="preserve"> Cezalara ilişkin kurallar, caydırıcı etkisini güçlendirmek amacıyla 93/13 / EEC sayılı Direktife </w:t>
      </w:r>
      <w:proofErr w:type="gramStart"/>
      <w:r>
        <w:t>dahil</w:t>
      </w:r>
      <w:proofErr w:type="gramEnd"/>
      <w:r>
        <w:t xml:space="preserve"> edilmelidir.  Üye Devletler, bu Direktifin ihlallerine ilişkin cezaların uygulanmasına ilişkin idari veya adli </w:t>
      </w:r>
      <w:proofErr w:type="gramStart"/>
      <w:r>
        <w:t>prosedüre</w:t>
      </w:r>
      <w:proofErr w:type="gramEnd"/>
      <w:r>
        <w:t xml:space="preserve"> karar vermekte serbesttir.  Özellikle, idari makamlar veya ulusal mahkemeler, idari makam tarafından başlatılan yasal işlemler de </w:t>
      </w:r>
      <w:proofErr w:type="gramStart"/>
      <w:r>
        <w:t>dahil</w:t>
      </w:r>
      <w:proofErr w:type="gramEnd"/>
      <w:r>
        <w:t xml:space="preserve"> olmak üzere, sözleşme şartlarının haksız niteliğini belirlerken cezalar uygulayabilir.  Cezalar, satıcı veya tedarikçi ulusal hukuktaki tüm durumlarda açıkça haksız olarak tanımlanan sözleşme şartlarını kullandığında ve satıcı veya tedarikçinin haksız </w:t>
      </w:r>
      <w:r>
        <w:lastRenderedPageBreak/>
        <w:t xml:space="preserve">olduğu belirlenen sözleşme şartlarını kullandığı durumlarda idari makamlar veya ulusal mahkemeler tarafından da verilebilir.  </w:t>
      </w:r>
      <w:proofErr w:type="gramStart"/>
      <w:r>
        <w:t>nihai</w:t>
      </w:r>
      <w:proofErr w:type="gramEnd"/>
      <w:r>
        <w:t xml:space="preserve"> bir bağlayıcı kararla.  Üye Devletler idari makamların ayrıca sözleşme şartlarının haksız karakterini belirleme hakkına sahip olduklarına karar verebilirler.  İdari makamlar veya ulusal mahkemeler, sözleşme şartlarının adaletsizliğinin tesis edildiği kararla da ceza verebilir.  Üye Devletler, bireysel düzeltme ve cezalarla ilgili ulusal düzeydeki eylemler için uygun koordinasyon mekanizmalarını belirleyebilirler.</w:t>
      </w:r>
    </w:p>
    <w:p w:rsidR="00F646EA" w:rsidRDefault="00F646EA" w:rsidP="00F646EA">
      <w:r>
        <w:t xml:space="preserve"> (15)</w:t>
      </w:r>
    </w:p>
    <w:p w:rsidR="00F646EA" w:rsidRDefault="00F646EA" w:rsidP="00F646EA">
      <w:r>
        <w:t xml:space="preserve"> Para cezalarından gelir tahsis ederken, Üye Devletler, tüketicilerin genel çıkarlarının ve diğer korunan kamu çıkarlarının korunmasını artırmayı düşünmelidir.</w:t>
      </w:r>
    </w:p>
    <w:p w:rsidR="00F646EA" w:rsidRDefault="00F646EA" w:rsidP="00F646EA">
      <w:r>
        <w:t xml:space="preserve"> (16)</w:t>
      </w:r>
    </w:p>
    <w:p w:rsidR="00F646EA" w:rsidRDefault="00F646EA" w:rsidP="00F646EA">
      <w:r>
        <w:t xml:space="preserve"> Üye Devletler, bu adil olmayan uygulamaların tüm etkilerini ortadan kaldırmak için haksız ticari uygulamalardan zarar gören tüketiciler için çözüm yollarının mevcut olmasını sağlamalıdır.  Bireysel çözümler için açık bir çerçeve, özel yaptırımı kolaylaştıracaktır.  Tüketici, zarar tazminatına ve gerektiğinde sözleşmenin orantılı ve etkili bir şekilde fiyat indirimi veya feshine erişebilmelidir.  Üye Devletlerin, bu tür uygulamaların etkilerinin tamamen ortadan kaldırılmasını sağlamak için haksız ticari uygulamalardan zarar gören tüketiciler için onarım veya değiştirme gibi diğer çözüm yollarının haklarını muhafaza etmeleri veya bunlara giriş yapmaları engellenmemelidir.  Üye Devletlerin uygulama koşullarını ve çözüm yollarının tüketiciler için etkilerini belirlemeleri engellenmemelidir.  Telafiler uygulanırken, haksız ticari uygulamanın ağırlığı ve niteliği, tüketicinin maruz kaldığı zarar ve tüccarın görevi kötüye kullanma veya sözleşmenin ihlali gibi diğer ilgili koşullar dikkate alınabilir.</w:t>
      </w:r>
    </w:p>
    <w:p w:rsidR="00F646EA" w:rsidRDefault="00F646EA" w:rsidP="00F646EA">
      <w:r>
        <w:t xml:space="preserve"> (17)</w:t>
      </w:r>
    </w:p>
    <w:p w:rsidR="00F646EA" w:rsidRDefault="00F646EA" w:rsidP="00F646EA">
      <w:r>
        <w:t xml:space="preserve"> Tüketici ve pazarlama yasalarının Kondisyon Kontrolü ve 2011/83 / EU Direktifinin paralel değerlendirmesi de mevcut Birlik tüketici koruma kurallarının modernize edilmesi gereken bir dizi alanı belirlemiştir.  Dijital araçların sürekli gelişimi göz önüne alındığında, Birlik tüketici koruma yasasının düzenlenmesi gerekmektedir.</w:t>
      </w:r>
    </w:p>
    <w:p w:rsidR="00F646EA" w:rsidRDefault="00F646EA" w:rsidP="00F646EA">
      <w:r>
        <w:t xml:space="preserve"> (18)</w:t>
      </w:r>
    </w:p>
    <w:p w:rsidR="00F646EA" w:rsidRDefault="00F646EA" w:rsidP="00F646EA">
      <w:r>
        <w:t xml:space="preserve"> Çevrimiçi arama işlevselliği sağlayıcıları tarafından çevrimiçi arama sonuçlarına ticari tekliflerin daha üst sıralarda veya belirgin bir şekilde yerleştirilmesi tüketiciler üzerinde önemli bir etkiye sahiptir.</w:t>
      </w:r>
    </w:p>
    <w:p w:rsidR="00F646EA" w:rsidRDefault="00F646EA" w:rsidP="00F646EA">
      <w:r>
        <w:t xml:space="preserve"> (19)</w:t>
      </w:r>
    </w:p>
    <w:p w:rsidR="00F646EA" w:rsidRDefault="00F646EA" w:rsidP="00F646EA">
      <w:r>
        <w:t xml:space="preserve"> Sıralama, tüccarların tekliflerinin göreli önemini veya </w:t>
      </w:r>
      <w:proofErr w:type="spellStart"/>
      <w:r>
        <w:t>algoritmik</w:t>
      </w:r>
      <w:proofErr w:type="spellEnd"/>
      <w:r>
        <w:t xml:space="preserve"> sıralama, derecelendirme veya inceleme mekanizmaları, görsel vurgular veya diğerlerinin kullanılması da </w:t>
      </w:r>
      <w:proofErr w:type="gramStart"/>
      <w:r>
        <w:t>dahil</w:t>
      </w:r>
      <w:proofErr w:type="gramEnd"/>
      <w:r>
        <w:t xml:space="preserve"> olmak üzere çevrimiçi arama işlevselliği sağlayıcıları tarafından sunulan, düzenlenen veya iletilen arama sonuçlarına verilen önemi ifade eder.  </w:t>
      </w:r>
      <w:proofErr w:type="gramStart"/>
      <w:r>
        <w:t>çıkıntı</w:t>
      </w:r>
      <w:proofErr w:type="gramEnd"/>
      <w:r>
        <w:t xml:space="preserve"> araçları veya bunların kombinasyonları.</w:t>
      </w:r>
    </w:p>
    <w:p w:rsidR="00F646EA" w:rsidRDefault="00F646EA" w:rsidP="00F646EA">
      <w:r>
        <w:t xml:space="preserve"> (20)</w:t>
      </w:r>
    </w:p>
    <w:p w:rsidR="00F646EA" w:rsidRDefault="00F646EA" w:rsidP="00F646EA">
      <w:r>
        <w:t xml:space="preserve"> Bu bağlamda, 2005/29 / EC sayılı Direktifin Ek </w:t>
      </w:r>
      <w:proofErr w:type="spellStart"/>
      <w:r>
        <w:t>I'inde</w:t>
      </w:r>
      <w:proofErr w:type="spellEnd"/>
      <w:r>
        <w:t xml:space="preserve">, bir tüccarın tüketicinin çevrimiçi arama sorgusuna yanıt olarak tüketicinin çevrimiçi arama sorgusuna yanıt olarak arama sonuçları şeklinde bilgi sağladığı uygulamaların açıkça belirtilmesi için değiştirilmesi gerekmektedir.  </w:t>
      </w:r>
      <w:proofErr w:type="gramStart"/>
      <w:r>
        <w:t>ücretli</w:t>
      </w:r>
      <w:proofErr w:type="gramEnd"/>
      <w:r>
        <w:t xml:space="preserve"> reklamlar veya arama sonuçlarında daha yüksek ürün sıralaması elde etmek için ödeme yapılması yasaktır.  Bir tüccar, arama sonuçlarında bir ürünün daha yüksek bir sıralaması için çevrimiçi arama işlevselliğinin sağlayıcısına doğrudan veya dolaylı olarak ödeme yaptığında, çevrimiçi arama işlevselliğinin sağlayıcısı, bu gerçeği tüketicileri kısa, kolay erişilebilir ve anlaşılabilir bir biçimde bilgilendirmelidir.  </w:t>
      </w:r>
      <w:r>
        <w:lastRenderedPageBreak/>
        <w:t xml:space="preserve">Dolaylı ödeme, bir tüccar tarafından, özel etkisi olarak daha yüksek sıralamaya sahip herhangi bir tür çevrimiçi arama işlevselliğinin sağlayıcısına karşı ek yükümlülükler tüccar tarafından kabul edilebilir.  Dolaylı ödeme, işlem başına artan komisyonun yanı sıra, özellikle daha yüksek sıralamaya yol açan farklı tazminat programlarından oluşabilir.  Çevrimiçi arama işlevselliğinin sağlayıcısı tarafından tüccara sunulan geniş bir işlev yelpazesine hitap eden listeleme ücretleri veya üyelik abonelikleri gibi genel hizmetler için yapılan ödemeler, özel olarak daha yüksek ürün sıralamasına ulaşmak için bir ödeme olarak kabul edilmemelidir.  </w:t>
      </w:r>
      <w:proofErr w:type="gramStart"/>
      <w:r>
        <w:t>bu</w:t>
      </w:r>
      <w:proofErr w:type="gramEnd"/>
      <w:r>
        <w:t xml:space="preserve"> tür ödemelerin daha yüksek sıralama elde etmeye adanmadığı.  Çevrimiçi arama işlevselliği, çevrimiçi pazar yerleri, arama motorları ve karşılaştırma web siteleri gibi aracılar da </w:t>
      </w:r>
      <w:proofErr w:type="gramStart"/>
      <w:r>
        <w:t>dahil</w:t>
      </w:r>
      <w:proofErr w:type="gramEnd"/>
      <w:r>
        <w:t xml:space="preserve"> olmak üzere farklı çevrimiçi tüccar türleri tarafından sağlanabilir.</w:t>
      </w:r>
    </w:p>
    <w:p w:rsidR="00F646EA" w:rsidRDefault="00F646EA" w:rsidP="00F646EA">
      <w:r>
        <w:t xml:space="preserve"> (21)</w:t>
      </w:r>
    </w:p>
    <w:p w:rsidR="00F646EA" w:rsidRDefault="00F646EA" w:rsidP="00F646EA">
      <w:r>
        <w:t xml:space="preserve"> Sıralamayı belirleyen ana parametrelerle ilgili şeffaflık gerekleri, Avrupa Parlamentosu ve Konseyinin 2019/1150 sayılı Tüzüğü (9) ile de düzenlenmektedir.  Bu Tüzük kapsamındaki şeffaflık gereklilikleri, çevrimiçi pazar yerleri de </w:t>
      </w:r>
      <w:proofErr w:type="gramStart"/>
      <w:r>
        <w:t>dahil</w:t>
      </w:r>
      <w:proofErr w:type="gramEnd"/>
      <w:r>
        <w:t xml:space="preserve"> olmak üzere çok çeşitli çevrimiçi aracıları kapsamaktadır, ancak yalnızca tüccarlar ve çevrimiçi aracılar arasında geçerlidir.  Bu nedenle, bu yönetmeliğin tek tek veya toplu olarak ana parametreleri belirlemesi için gerekli olan çevrimiçi arama motorları sağlayıcıları durumu dışında, tüketicilere karşı yeterli şeffaflığı sağlamak için 2005/29 / EC sayılı Direktifte benzer şeffaflık gereklilikleri getirilmelidir.  </w:t>
      </w:r>
      <w:proofErr w:type="gramStart"/>
      <w:r>
        <w:t>bu</w:t>
      </w:r>
      <w:proofErr w:type="gramEnd"/>
      <w:r>
        <w:t xml:space="preserve"> sağlayıcıların çevrimiçi arama motorlarında sade ve anlaşılır bir dilde hazırlanmış, kolay ve halka açık bir açıklama sunarak, bu ana parametrelerin sıralamasını ve göreceli önemini belirlemede en önemlisidir.</w:t>
      </w:r>
    </w:p>
    <w:p w:rsidR="00F646EA" w:rsidRDefault="00F646EA" w:rsidP="00F646EA">
      <w:r>
        <w:t xml:space="preserve"> (22)</w:t>
      </w:r>
    </w:p>
    <w:p w:rsidR="00F646EA" w:rsidRDefault="00F646EA" w:rsidP="00F646EA">
      <w:r>
        <w:t xml:space="preserve"> Tüketicilerin, farklı tüccarlar veya tüketiciler tarafından sunulan seyahat, konaklama ve boş zaman etkinlikleri gibi mal ve hizmetleri aramasını sağlayan yatırımcılar, arama sorgusu sonucunda tüketiciye sunulan tekliflerin sıralamasını belirleyen varsayılan ana parametreler hakkında tüketicileri bilgilendirmelidir.  </w:t>
      </w:r>
      <w:proofErr w:type="gramStart"/>
      <w:r>
        <w:t>ve</w:t>
      </w:r>
      <w:proofErr w:type="gramEnd"/>
      <w:r>
        <w:t xml:space="preserve"> diğer parametrelere göre nispi önemleri.  Bu bilgi kısa ve öz olmalı, kolay, belirgin ve doğrudan erişilebilir olmalıdır.  Sıralamayı belirleyen parametreler, algoritmalara dahil edilen herhangi bir genel </w:t>
      </w:r>
      <w:proofErr w:type="gramStart"/>
      <w:r>
        <w:t>kriter</w:t>
      </w:r>
      <w:proofErr w:type="gramEnd"/>
      <w:r>
        <w:t>, süreç, spesifik sinyal veya sıralamayla bağlantılı olarak kullanılan diğer ayarlama veya indirgeme mekanizmaları anlamına gelir.</w:t>
      </w:r>
    </w:p>
    <w:p w:rsidR="00F646EA" w:rsidRDefault="00F646EA" w:rsidP="00F646EA">
      <w:r>
        <w:t xml:space="preserve"> (23)</w:t>
      </w:r>
    </w:p>
    <w:p w:rsidR="00F646EA" w:rsidRDefault="00F646EA" w:rsidP="00F646EA">
      <w:r>
        <w:t xml:space="preserve"> Sıralamayı belirleyen ana parametrelere ilişkin bilgi gereksinimi, Avrupa Parlamentosu ve Konsey (10) 2016/943 sayılı Direktife (AB) halel getirmez.  Yatırımcıların algoritmalar </w:t>
      </w:r>
      <w:proofErr w:type="gramStart"/>
      <w:r>
        <w:t>dahil</w:t>
      </w:r>
      <w:proofErr w:type="gramEnd"/>
      <w:r>
        <w:t xml:space="preserve"> olmak üzere sıralama mekanizmalarının ayrıntılı işleyişini açıklamaları gerekmemelidir.  Yatırımcılar, yatırımcı tarafından kullanılan varsayılan ana parametreleri ve diğer parametrelere kıyasla göreceli önemini açıklayan sıralamayı belirleyen ana parametrelerin genel bir açıklamasını sağlamalıdır, ancak bu tanımın her bir arama için özelleştirilmiş bir şekilde sunulması </w:t>
      </w:r>
      <w:proofErr w:type="gramStart"/>
      <w:r>
        <w:t>gerekmez  sorgu</w:t>
      </w:r>
      <w:proofErr w:type="gramEnd"/>
      <w:r>
        <w:t>.</w:t>
      </w:r>
    </w:p>
    <w:p w:rsidR="00F646EA" w:rsidRDefault="00F646EA" w:rsidP="00F646EA">
      <w:r>
        <w:t xml:space="preserve"> (24)</w:t>
      </w:r>
    </w:p>
    <w:p w:rsidR="00F646EA" w:rsidRDefault="00F646EA" w:rsidP="00F646EA">
      <w:r>
        <w:t xml:space="preserve"> Çevrimiçi pazarlardaki ürünler tüketicilere sunulduğunda, hem çevrimiçi pazarın sağlayıcısı hem de üçüncü taraf tedarikçi, 2011/83 / EU Direktifinin gerektirdiği sözleşme öncesi bilginin sağlanmasında yer almaktadır.  Sonuç olarak, çevrimiçi pazarı kullanan tüketiciler, sözleşme ortaklarının kim olduğunu ve hak ve yükümlülüklerinin nasıl etkilendiğini açıkça anlamayabilir.</w:t>
      </w:r>
    </w:p>
    <w:p w:rsidR="00F646EA" w:rsidRDefault="00F646EA" w:rsidP="00F646EA">
      <w:r>
        <w:t xml:space="preserve"> (25)</w:t>
      </w:r>
    </w:p>
    <w:p w:rsidR="00F646EA" w:rsidRDefault="00F646EA" w:rsidP="00F646EA">
      <w:r>
        <w:t xml:space="preserve"> Çevrimiçi pazarlar, Avrupa Parlamentosu ve Konsey (11) ve Direktif (AB) '</w:t>
      </w:r>
      <w:proofErr w:type="spellStart"/>
      <w:r>
        <w:t>nin</w:t>
      </w:r>
      <w:proofErr w:type="spellEnd"/>
      <w:r>
        <w:t xml:space="preserve"> 524/2013 sayılı Yönetmeliği (AB) ile aynı şekilde 2005/29 / EC ve 2011/83 / EU Direktifleri için tanımlanmalıdır.  ) </w:t>
      </w:r>
      <w:r>
        <w:lastRenderedPageBreak/>
        <w:t xml:space="preserve">2016/1148 Avrupa Parlamentosu ve Konsey (12).  Bununla birlikte, 'çevrimiçi pazar' tanımı, yeni teknolojileri kapsayacak şekilde güncellenmeli ve teknolojik olarak daha tarafsız hale getirilmelidir.  Bu nedenle, bir 'web sitesi' yerine, bir 'çevrimiçi </w:t>
      </w:r>
      <w:proofErr w:type="spellStart"/>
      <w:r>
        <w:t>arayüz</w:t>
      </w:r>
      <w:proofErr w:type="spellEnd"/>
      <w:r>
        <w:t xml:space="preserve">' kavramına uygun olarak, bir web sitesi, bir web sitesinin veya uygulamanın tüccar tarafından veya onun adına işletilen bir yazılım da </w:t>
      </w:r>
      <w:proofErr w:type="gramStart"/>
      <w:r>
        <w:t>dahil</w:t>
      </w:r>
      <w:proofErr w:type="gramEnd"/>
      <w:r>
        <w:t xml:space="preserve"> olmak üzere yazılıma atıf yapmak uygundur.  Avrupa Parlamentosu ve Konsey (13) (AB) 2017/2394 Yönetmeliği ve (AB) 2018/302 Tüzüğü tarafından sağlandığı şekliyle.</w:t>
      </w:r>
    </w:p>
    <w:p w:rsidR="00F646EA" w:rsidRDefault="00F646EA" w:rsidP="00F646EA">
      <w:r>
        <w:t xml:space="preserve"> (26)</w:t>
      </w:r>
    </w:p>
    <w:p w:rsidR="00F646EA" w:rsidRDefault="00F646EA" w:rsidP="00F646EA">
      <w:r>
        <w:t xml:space="preserve"> Bu nedenle çevrimiçi pazarlar için belirli bilgi gereklilikleri, çevrimiçi pazarları kullanan tüketicileri tekliflerin sıralamasını belirleyen ana parametreler ve bir tüccar ile sözleşme yapıp yapmadıkları hakkında bilgilendirmek için 2005/29 / EC ve 2011/83 / EU Direktiflerinde sağlanmalıdır.  </w:t>
      </w:r>
      <w:proofErr w:type="gramStart"/>
      <w:r>
        <w:t>başka</w:t>
      </w:r>
      <w:proofErr w:type="gramEnd"/>
      <w:r>
        <w:t xml:space="preserve"> bir tüketici gibi bir tüccar olmayan.</w:t>
      </w:r>
    </w:p>
    <w:p w:rsidR="00F646EA" w:rsidRDefault="00F646EA" w:rsidP="00F646EA">
      <w:r>
        <w:t xml:space="preserve"> (27)</w:t>
      </w:r>
    </w:p>
    <w:p w:rsidR="00F646EA" w:rsidRDefault="00F646EA" w:rsidP="00F646EA">
      <w:r>
        <w:t xml:space="preserve"> Çevrimiçi pazar yerleri sağlayıcıları, mal, hizmet veya dijital içerik sunan üçüncü tarafın, üçüncü taraf tarafından yapılan açıklamaya dayanarak bir tüccar mı yoksa tüccar olmayan mı olduğunu tüketicilere bildirmelidir.  Malları, hizmetleri veya dijital içeriği sunan üçüncü taraf, tüccar olmayan birinin statüsünü beyan ettiğinde, çevrimiçi pazar yeri sağlayıcıları, Birlik tüketici koruma yasasından kaynaklanan tüketici haklarının aşağıdakiler için geçerli olmadığı konusunda kısa bir açıklama yapmalıdır.  </w:t>
      </w:r>
      <w:proofErr w:type="gramStart"/>
      <w:r>
        <w:t>sözleşme</w:t>
      </w:r>
      <w:proofErr w:type="gramEnd"/>
      <w:r>
        <w:t xml:space="preserve"> imzalandı.  Ayrıca, tüketiciler, sözleşmeyle ilgili yükümlülüklerin mal, hizmet veya dijital içerik sunan üçüncü taraflar ile çevrimiçi pazarların sağlayıcıları arasında nasıl paylaşıldığı konusunda bilgilendirilmelidir.  Bilgiler sadece standart şartlar ve koşullar veya benzer sözleşme belgelerinde değil, açık ve anlaşılır bir şekilde verilmelidir.  Çevrimiçi pazar yeri sağlayıcıları için bilgi gereksinimleri orantılı olmalıdır.  Bu gereksinimler, yüksek düzeyde tüketici koruması ile çevrimiçi pazar yeri sağlayıcılarının rekabet gücü arasında bir denge kurmalıdır.  Çevrimiçi pazar yerlerinin sağlayıcılarından, tüketicileri </w:t>
      </w:r>
      <w:proofErr w:type="spellStart"/>
      <w:r>
        <w:t>uygulanamazlıkları</w:t>
      </w:r>
      <w:proofErr w:type="spellEnd"/>
      <w:r>
        <w:t xml:space="preserve"> hakkında bilgilendirirken belirli tüketici haklarını listelemeleri istenmemelidir.  Bu, 2011/83 / EU Yönergesinde ve özellikle 6 (1). Maddesinde belirtilen tüketici bilgi gerekliliklerine halel getirmez.  Tüketici haklarını sağlama sorumluluğu hakkında sağlanacak bilgiler, çevrimiçi pazar yeri sağlayıcıları ile ilgili üçüncü taraf tüccarlar arasındaki sözleşmeye bağlı düzenlemelere bağlıdır.  Çevrimiçi pazarın sağlayıcısı, üçüncü taraf bir tüccarın yalnızca tüketici haklarını sağlamaktan sorumlu olduğunu belirtebilir veya söz konusu sağlayıcının sözleşmenin belirli yönleri için sorumluluk alması durumunda, örneğin teslimat veya hakkın kullanılması gibi kendi özel sorumluluklarını tanımlayabilir.  </w:t>
      </w:r>
      <w:proofErr w:type="gramStart"/>
      <w:r>
        <w:t>çekilme</w:t>
      </w:r>
      <w:proofErr w:type="gramEnd"/>
      <w:r>
        <w:t>.</w:t>
      </w:r>
    </w:p>
    <w:p w:rsidR="00F646EA" w:rsidRDefault="00F646EA" w:rsidP="00F646EA">
      <w:r>
        <w:t xml:space="preserve"> (28)</w:t>
      </w:r>
    </w:p>
    <w:p w:rsidR="00F646EA" w:rsidRDefault="00F646EA" w:rsidP="00F646EA">
      <w:r>
        <w:t xml:space="preserve"> Avrupa Parlamentosu ve Konsey (14) 2000/31 / EC sayılı Direktifin 15 (1) maddesi uyarınca, çevrimiçi pazar yeri sağlayıcılarından üçüncü taraf tedarikçilerin yasal statülerini doğrulamaları istenmemelidir.  Bunun yerine, çevrimiçi pazar yerlerinin sağlayıcıları, çevrimiçi pazardaki üçüncü taraf tedarikçilerin, tüketiciyi koruma kanunu açısından tüccar veya tüccar olmayan olarak statülerini belirtmelerini ve bu bilgileri çevrimiçi pazar sağlayıcısına sunmalarını istemelidir.</w:t>
      </w:r>
    </w:p>
    <w:p w:rsidR="00F646EA" w:rsidRDefault="00F646EA" w:rsidP="00F646EA">
      <w:r>
        <w:t xml:space="preserve"> (29)</w:t>
      </w:r>
    </w:p>
    <w:p w:rsidR="00F646EA" w:rsidRDefault="00F646EA" w:rsidP="00F646EA">
      <w:r>
        <w:t xml:space="preserve"> Çevrimiçi pazarlar ile ilgili hızlı teknolojik gelişmeleri ve yüksek düzeyde tüketici korumasını sağlama ihtiyacını göz önünde bulundurarak, Üye Devletler bu amaç için özel ek önlemler alabilmeli veya sürdürmelidir.  Bu hükümler orantılı, ayrımcı olmayan ve 2000/31 / EC Direktifine halel getirmemelidir.</w:t>
      </w:r>
    </w:p>
    <w:p w:rsidR="00F646EA" w:rsidRDefault="00F646EA" w:rsidP="00F646EA">
      <w:r>
        <w:t xml:space="preserve"> (30)</w:t>
      </w:r>
    </w:p>
    <w:p w:rsidR="00F646EA" w:rsidRDefault="00F646EA" w:rsidP="00F646EA">
      <w:r>
        <w:lastRenderedPageBreak/>
        <w:t xml:space="preserve"> 2011/83 / EU Direktifindeki dijital içerik ve dijital hizmet tanımları, Avrupa Parlamentosu ve Konseyin 2019/770 Direktifi (15) ile uyumlu olmalıdır (15).  (EU) 2019/770 Direktifi kapsamında yer alan dijital içerik, belirli bir tedarik eylemini, bir dizi bireysel tedarik eylemini veya bir süre boyunca sürekli tedariki kapsar.  Sürekli tedarik unsuru mutlaka uzun vadeli bir tedarik gerektirmemelidir.  Video </w:t>
      </w:r>
      <w:proofErr w:type="gramStart"/>
      <w:r>
        <w:t>kliplerin</w:t>
      </w:r>
      <w:proofErr w:type="gramEnd"/>
      <w:r>
        <w:t xml:space="preserve"> web akışı gibi durumlar, görsel-işitsel dosyanın gerçek süresine bakılmaksızın, belirli bir süre boyunca sürekli besleme olarak değerlendirilmelidir.  Bu nedenle, her ikisi de sözleşme süresi boyunca tüccar tarafından sürekli tedarik içerebileceğinden, belirli dijital içerik türleri ve dijital hizmetler arasında ayrım yapmak zor olabilir.  Dijital hizmetlere örnek olarak video ve ses paylaşım hizmetleri ve diğer dosya barındırma, kelime işlemci veya bulutta sunulan oyunlar, bulut depolama, web posta, sosyal medya ve bulut uygulamaları verilebilir.  Hizmet sağlayıcının sürekli katılımı, 2011/83 / EU sayılı Direktifte öngörülen cayma hakkı ile ilgili olarak, tüketicinin hizmeti sınamasına ve karar vermesinden sonraki 14 gün boyunca karar vermesine izin veren kuralların uygulanmasını haklı çıkarmaktadır.  </w:t>
      </w:r>
      <w:proofErr w:type="gramStart"/>
      <w:r>
        <w:t>sözleşme</w:t>
      </w:r>
      <w:proofErr w:type="gramEnd"/>
      <w:r>
        <w:t xml:space="preserve"> olsun ya da olmasın.  Somut bir ortam üzerinde sağlanmayan dijital içerik tedariki için birçok sözleşme, belirli bir müzik parçasının veya belirli müzik veya video dosyaları gibi dijital içerik parçalarının tüketiciye tek bir tedarik eylemiyle karakterize edilir.  Somut bir ortamda sunulmayan dijital içerik tedariki sözleşmeleri, 2011/83 / EU sayılı Direktifin 16. Maddesinin birinci fıkrasının (m) bendinde belirtilen cayma hakkı istisnasına tabidir.  </w:t>
      </w:r>
      <w:proofErr w:type="gramStart"/>
      <w:r>
        <w:t>tüketici</w:t>
      </w:r>
      <w:proofErr w:type="gramEnd"/>
      <w:r>
        <w:t xml:space="preserve">, sözleşmenin performansı başlatıldığında (içeriğin indirilmesi veya yayınlanması gibi) çekilme hakkını, tüketicinin cayma süresi boyunca performansa başlamasına ve dolayısıyla kaybeden olduğunu onaylamasına bağlı olarak geri çekme hakkını kaybeder.  </w:t>
      </w:r>
      <w:proofErr w:type="gramStart"/>
      <w:r>
        <w:t>vazgeçme</w:t>
      </w:r>
      <w:proofErr w:type="gramEnd"/>
      <w:r>
        <w:t xml:space="preserve"> hakkı.  Sözleşmenin bir somut ortamda sunulmayan bir hizmet sözleşmesi mi yoksa dijital içeriğin tedarikine yönelik bir sözleşme olup olmadığı konusunda şüphe varsa, hizmetlerin geri çekilme hakkı kuralları uygulanmalıdır.</w:t>
      </w:r>
    </w:p>
    <w:p w:rsidR="00F646EA" w:rsidRDefault="00F646EA" w:rsidP="00F646EA">
      <w:r>
        <w:t xml:space="preserve"> (31)</w:t>
      </w:r>
    </w:p>
    <w:p w:rsidR="00F646EA" w:rsidRDefault="00F646EA" w:rsidP="00F646EA">
      <w:r>
        <w:t xml:space="preserve"> Dijital içerik ve dijital hizmetler genellikle tüketicinin fiyat ödemediği, ancak tüccara kişisel veri sağladığı sözleşmeler kapsamında çevrimiçi olarak sağlanır.  2011/83 / EU Direktifi, tüketicinin para için bir fiyat ödemesi veya kişisel veri sağlamasına bakılmaksızın, somut bir ortamda (yani çevrimiçi dijital içerik tedariki) sağlanmayan dijital içerik tedariki sözleşmeleri için zaten geçerlidir.  Ancak, bu Direktif sadece tüketicinin ücret ödediği veya ödediği taahhüt edilen dijital hizmetler sözleşmeleri de </w:t>
      </w:r>
      <w:proofErr w:type="gramStart"/>
      <w:r>
        <w:t>dahil</w:t>
      </w:r>
      <w:proofErr w:type="gramEnd"/>
      <w:r>
        <w:t xml:space="preserve"> olmak üzere hizmet sözleşmeleri için geçerlidir.  Sonuç olarak, bu Direktif, tüketicinin tüccara bedel ödemeden kişisel veri sağladığı dijital hizmetler sözleşmeleri için geçerli değildir.  Kişisel veriler karşılığında sağlanan benzerlik ve ücretli dijital hizmetlerin ve dijital hizmetlerin </w:t>
      </w:r>
      <w:proofErr w:type="spellStart"/>
      <w:r>
        <w:t>değiştirilebilirliği</w:t>
      </w:r>
      <w:proofErr w:type="spellEnd"/>
      <w:r>
        <w:t xml:space="preserve"> göz önüne alındığında, bu Direktif kapsamında aynı kurallara tabi olmalıdırlar.</w:t>
      </w:r>
    </w:p>
    <w:p w:rsidR="00F646EA" w:rsidRDefault="00F646EA" w:rsidP="00F646EA">
      <w:r>
        <w:t xml:space="preserve"> (32)</w:t>
      </w:r>
    </w:p>
    <w:p w:rsidR="00F646EA" w:rsidRDefault="00F646EA" w:rsidP="00F646EA">
      <w:r>
        <w:t xml:space="preserve"> 2011/83 / EU Direktifi ile 2019/770 sayılı Direktifin uygulama kapsamı arasında, tüketicinin kişisel veri sağlaması veya sunması gereken dijital içerik veya dijital hizmetlerin tedarikine ilişkin sözleşmeler için tutarlılık sağlanmalıdır.  </w:t>
      </w:r>
      <w:proofErr w:type="gramStart"/>
      <w:r>
        <w:t>tüccar</w:t>
      </w:r>
      <w:proofErr w:type="gramEnd"/>
      <w:r>
        <w:t>.</w:t>
      </w:r>
    </w:p>
    <w:p w:rsidR="00F646EA" w:rsidRDefault="00F646EA" w:rsidP="00F646EA">
      <w:r>
        <w:t xml:space="preserve"> (33)</w:t>
      </w:r>
    </w:p>
    <w:p w:rsidR="00F646EA" w:rsidRDefault="00F646EA" w:rsidP="00F646EA">
      <w:r>
        <w:t xml:space="preserve"> Bu nedenle, 2011/83 / EU </w:t>
      </w:r>
      <w:proofErr w:type="spellStart"/>
      <w:r>
        <w:t>Direktifi'nin</w:t>
      </w:r>
      <w:proofErr w:type="spellEnd"/>
      <w:r>
        <w:t xml:space="preserve"> kapsamı, tüccarın tüketiciye dijital hizmet sağlamayı veya üstlenmeyi taahhüt ettiği sözleşmeleri de kapsayacak şekilde genişletilmeli ve tüketici kişisel veri sağlamayı veya almayı taahhüt etmelidir.  Somut bir ortamda tedarik edilmeyen dijital içerik tedariki sözleşmelerine benzer şekilde, bu Direktif, tüketici tarafından sağlanan kişisel verilerin münhasıran tarafından işlendiği durumlar dışında, tüketiciye tüccara kişisel veri sağlamayı veya taahhüt etmeyi taahhüt ettiğinde uygulanmalıdır.  </w:t>
      </w:r>
      <w:proofErr w:type="gramStart"/>
      <w:r>
        <w:t>tüccar</w:t>
      </w:r>
      <w:proofErr w:type="gramEnd"/>
      <w:r>
        <w:t xml:space="preserve"> dijital içerik veya dijital hizmet sağlamak amacıyla ve tüccar bu verileri başka bir amaçla işlemez.  Kişisel verilerin işlenmesi Avrupa Parlamentosu ve Konseyinin (AB) 2016/679 (AB) Yönetmeliğine uygun olmalıdır (16).</w:t>
      </w:r>
    </w:p>
    <w:p w:rsidR="00F646EA" w:rsidRDefault="00F646EA" w:rsidP="00F646EA">
      <w:r>
        <w:lastRenderedPageBreak/>
        <w:t xml:space="preserve"> (34)</w:t>
      </w:r>
    </w:p>
    <w:p w:rsidR="00F646EA" w:rsidRDefault="00F646EA" w:rsidP="00F646EA">
      <w:r>
        <w:t xml:space="preserve"> Dijital içeriğin ve dijital hizmetlerin bir fiyat karşılığında verilmediği Direktif (AB) 2019/770 Direktifine tam uyum sağlamak için, 2011/83 / EU Direktifi de tüccarın kişisel veriler topladığı durumlar için geçerli olmamalıdır.  </w:t>
      </w:r>
      <w:proofErr w:type="gramStart"/>
      <w:r>
        <w:t>sadece</w:t>
      </w:r>
      <w:proofErr w:type="gramEnd"/>
      <w:r>
        <w:t xml:space="preserve"> tüccarın tabi olduğu yasal gereklilikleri karşılamaktır.  Bu gibi durumlar, örneğin, güvenlik ve tanımlama amacıyla yürürlükteki yasaların tüketici kayıtlarının gerekli olduğu durumları içerebilir.</w:t>
      </w:r>
    </w:p>
    <w:p w:rsidR="00F646EA" w:rsidRDefault="00F646EA" w:rsidP="00F646EA">
      <w:r>
        <w:t xml:space="preserve"> (35)</w:t>
      </w:r>
    </w:p>
    <w:p w:rsidR="00F646EA" w:rsidRDefault="00F646EA" w:rsidP="00F646EA">
      <w:r>
        <w:t xml:space="preserve"> 2011/83 / EU sayılı Direktif ayrıca, tüccarın sadece tüketici verileri ile ilgili bilgiler veya tarama geçmişi gibi meta verileri topladığı durumlar için de geçerli olmamalıdır, ancak bu durumun ulusal yasalar uyarınca bir sözleşme olduğu kabul edilir.  Ayrıca, tüccarla sözleşme imzalamadan tüketicinin yalnızca dijital içeriğe veya dijital hizmete erişmek için reklamlara maruz kaldığı durumlar için de geçerli olmamalıdır.  Bununla birlikte, Üye Devletler bu Direktifin uygulanmasını bu gibi durumlara genişletme veya bu Direktifin kapsamı dışında bırakılan bu durumları başka şekilde düzenleme konusunda serbest olmalıdır.</w:t>
      </w:r>
    </w:p>
    <w:p w:rsidR="00F646EA" w:rsidRDefault="00F646EA" w:rsidP="00F646EA">
      <w:r>
        <w:t xml:space="preserve"> (36)</w:t>
      </w:r>
    </w:p>
    <w:p w:rsidR="00F646EA" w:rsidRDefault="00F646EA" w:rsidP="00F646EA">
      <w:r>
        <w:t xml:space="preserve"> İşlevsellik kavramının, dijital içeriğin veya dijital hizmetin nasıl kullanılabileceği anlamına geldiği anlaşılmalıdır.  Örneğin, Dijital Haklar Yönetimi veya bölge kodlaması yoluyla koruma gibi herhangi bir teknik kısıtlamanın bulunmaması veya bulunmasının, dijital içeriğin veya dijital hizmetin amacına ilişkin tüm işlevlerini yerine getirme yeteneği üzerinde bir etkisi olabilir.  Birlikte çalışabilirlik kavramı, dijital içeriğin veya dijital hizmetin, aynı türden dijital içeriğin veya dijital hizmetlerin normalde kullanıldığı hizmetlerden farklı donanım veya yazılımla çalışıp çalışamayacağı ve ne ölçüde çalışabileceği ile ilgilidir.  Başarılı bir işleyiş, örneğin, dijital içeriğin ya da dijital hizmetin bu tür başka bir yazılım ya da donanım ile bilgi alışverişi yapma ve değiş tokuş edilen bilgileri kullanma becerisini içerebilir.  Uyumluluk kavramı 2019/770 sayılı Direktifte (AB) tanımlanmıştır.</w:t>
      </w:r>
    </w:p>
    <w:p w:rsidR="00F646EA" w:rsidRDefault="00F646EA" w:rsidP="00F646EA">
      <w:r>
        <w:t xml:space="preserve"> (37)</w:t>
      </w:r>
    </w:p>
    <w:p w:rsidR="00F646EA" w:rsidRDefault="00F646EA" w:rsidP="00F646EA">
      <w:r>
        <w:t xml:space="preserve"> 2011/83 / EU sayılı Direktifin Madde 7 (3) ve Madde 8 (8 )'si, işyeri dışında ve mesafeli sözleşmeler için tüccarların, cayma hakkının sona ermesinden önce performansa başlamaları için tüketicinin önceden açık rızasını almasını şart koşmaktadır.  Bu Direktifin 14 (4) maddesinin (a) maddesi, bu gereklilik tüccar tarafından yerine getirilmediğinde, yani tüketicinin sunulan hizmetler için ödeme yapmak zorunda olmadığında sözleşmeye bağlı bir yaptırım öngörmektedir.  Dolayısıyla, tüketicinin önceden açık rızasını alma koşulu, yalnızca fiyatın ödenmesine karşı sağlanan dijital hizmetler de </w:t>
      </w:r>
      <w:proofErr w:type="gramStart"/>
      <w:r>
        <w:t>dahil</w:t>
      </w:r>
      <w:proofErr w:type="gramEnd"/>
      <w:r>
        <w:t xml:space="preserve"> olmak üzere hizmetler için geçerlidir.  Bu nedenle, 7 (3) ve 8 (8) Maddelerini, </w:t>
      </w:r>
      <w:proofErr w:type="spellStart"/>
      <w:r>
        <w:t>trader'ların</w:t>
      </w:r>
      <w:proofErr w:type="spellEnd"/>
      <w:r>
        <w:t xml:space="preserve"> tüketicinin önceden açık rızasını alma şartının, yalnızca tüketiciyi ödeme yükümlülüğü altına sokan hizmet sözleşmeleri için geçerli olacak şekilde değiştirilmesi gerekmektedir.</w:t>
      </w:r>
    </w:p>
    <w:p w:rsidR="00F646EA" w:rsidRDefault="00F646EA" w:rsidP="00F646EA">
      <w:r>
        <w:t xml:space="preserve"> (38)</w:t>
      </w:r>
    </w:p>
    <w:p w:rsidR="00F646EA" w:rsidRDefault="00F646EA" w:rsidP="00F646EA">
      <w:r>
        <w:t xml:space="preserve"> 2011/83 / EU sayılı Direktifin 16 </w:t>
      </w:r>
      <w:proofErr w:type="spellStart"/>
      <w:r>
        <w:t>ncı</w:t>
      </w:r>
      <w:proofErr w:type="spellEnd"/>
      <w:r>
        <w:t xml:space="preserve"> maddesinin birinci fıkrasının (m) bendinde, tüketici başlaması için önceden açık bir onay vermişse, somut bir ortamda verilmeyen dijital içerikle ilgili geri çekme hakkına bir istisna </w:t>
      </w:r>
      <w:proofErr w:type="gramStart"/>
      <w:r>
        <w:t>öngörmektedir  çekilme</w:t>
      </w:r>
      <w:proofErr w:type="gramEnd"/>
      <w:r>
        <w:t xml:space="preserve"> hakkının sona ermesinden önceki performans ve geri çekilme hakkını kaybettiğini kabul etmiştir.  Bu Direktifin 14 (4) maddesinin (b) maddesi, bu gereklilik tüccar tarafından yerine getirilmediğinde sözleşmeye dayalı bir yaptırım öngörmektedir, yani tüketici tüketilen dijital içerik için ödeme yapmak zorunda değildir.  Tüketicinin önceden açık rızasını ve onayını alma şartı, bu nedenle, yalnızca fiyatın ödenmesine karşı sağlanan dijital içerik için geçerlidir.  Bu nedenle, tüccarların tüketicinin önceden açık rızasını ve onayını alma gereksiniminin yalnızca </w:t>
      </w:r>
      <w:r>
        <w:lastRenderedPageBreak/>
        <w:t>tüketiciyi ödeme yükümlülüğü altına sokan sözleşmeler için geçerli olacak şekilde 16. Maddenin birinci paragrafının (m) bendinde değişiklik yapılması gerekmektedir.</w:t>
      </w:r>
    </w:p>
    <w:p w:rsidR="00F646EA" w:rsidRDefault="00F646EA" w:rsidP="00F646EA">
      <w:r>
        <w:t xml:space="preserve"> (39)</w:t>
      </w:r>
    </w:p>
    <w:p w:rsidR="00F646EA" w:rsidRDefault="00F646EA" w:rsidP="00F646EA">
      <w:r>
        <w:t xml:space="preserve"> 2005/29 / EC sayılı Direktifin 7 (4) Maddesi, belirli bir fiyata ürün satın alma daveti için bilgi gerekliliklerini ortaya koymaktadır.  Bu bilgi gereklilikleri reklam aşamasında zaten uygulanırken, 2011/83 / EU Direktifi daha sonraki sözleşme öncesi aşamada (yani tüketici bir sözleşmeye girmeden hemen önce) aynı ve daha ayrıntılı bilgi gerekliliklerini getirmektedir.  Sonuç olarak, yatırımcıların aynı bilgileri reklam aşamasında (örneğin, bir medya web sitesinde çevrimiçi reklam) ve sözleşme öncesi aşamada (örneğin çevrimiçi web mağazalarının sayfalarında) sağlamaları istenebilir.</w:t>
      </w:r>
    </w:p>
    <w:p w:rsidR="00F646EA" w:rsidRDefault="00F646EA" w:rsidP="00F646EA">
      <w:r>
        <w:t xml:space="preserve"> (40)</w:t>
      </w:r>
    </w:p>
    <w:p w:rsidR="00F646EA" w:rsidRDefault="00F646EA" w:rsidP="00F646EA">
      <w:r>
        <w:t xml:space="preserve"> 2005/29 / EC sayılı Direktifin 7 (4) Maddesi kapsamındaki bilgi gereklilikleri, tüccarın </w:t>
      </w:r>
      <w:proofErr w:type="gramStart"/>
      <w:r>
        <w:t>şikayet</w:t>
      </w:r>
      <w:proofErr w:type="gramEnd"/>
      <w:r>
        <w:t xml:space="preserve"> işleme politikası hakkında tüketiciyi bilgilendirmeyi içerir.  Tüketici ve pazarlama hukuku bulgularının Kondisyon Kontrolü, bilginin sözleşme öncesi aşamada en uygun olduğunu ve 2011/83 / EU Direktifi tarafından düzenlendiğini göstermektedir.  Bu nedenle, 2005/29 / EC sayılı Direktif uyarınca reklam aşamasında satın alma davetiyelerinde bu bilgilerin sağlanması şartı silinmelidir.</w:t>
      </w:r>
    </w:p>
    <w:p w:rsidR="00F646EA" w:rsidRDefault="00F646EA" w:rsidP="00F646EA">
      <w:r>
        <w:t xml:space="preserve"> (41)</w:t>
      </w:r>
    </w:p>
    <w:p w:rsidR="008331C2" w:rsidRDefault="00F646EA" w:rsidP="00F646EA">
      <w:r>
        <w:t xml:space="preserve"> 2011/83 / EU sayılı Direktifin 6 (1) Maddesi (h) noktası, tüccarların tüketicilere söz konusu Direktifin Ek I (B) 'sinde belirtilen model geri çekme formu da </w:t>
      </w:r>
      <w:proofErr w:type="gramStart"/>
      <w:r>
        <w:t>dahil</w:t>
      </w:r>
      <w:proofErr w:type="gramEnd"/>
      <w:r>
        <w:t xml:space="preserve"> olmak üzere geri çekme hakkı hakkında sözleşme öncesi bilgi vermelerini gerektirmektedir.  Bu Direktifin 8 (4) Maddesi, sözleşme telefonla, sesli işletilen asistanlar aracılığıyla veya bilgileri görüntülemek için sınırlı yer veya zaman sağlayan bir uzaktan iletişim aracı ile sonuçlandırılırsa, sözleşme öncesi daha basit bilgi gereklilikleri öngörmektedir.  SMS ile.  Belirli bir uzaktan iletişim aracı üzerinden veya bu yollarla sağlanacak olan sözleşme öncesi zorunlu bilgiler, 6 (1) maddesinin (h) bendinde atıfta bulunulan cayma hakkı ile ilgili bilgileri içerir.  Buna göre, Ek I (B) 'de belirtilen model geri çekme formunun sağlanmasını da içerir.</w:t>
      </w:r>
      <w:bookmarkStart w:id="0" w:name="_GoBack"/>
      <w:bookmarkEnd w:id="0"/>
    </w:p>
    <w:sectPr w:rsidR="008331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EA"/>
    <w:rsid w:val="008331C2"/>
    <w:rsid w:val="00F646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BCD4A6-C6A1-4CFB-9BB0-8DB415A24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4441</Words>
  <Characters>25320</Characters>
  <Application>Microsoft Office Word</Application>
  <DocSecurity>0</DocSecurity>
  <Lines>211</Lines>
  <Paragraphs>59</Paragraphs>
  <ScaleCrop>false</ScaleCrop>
  <Company/>
  <LinksUpToDate>false</LinksUpToDate>
  <CharactersWithSpaces>29702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2020-01-17T01:38:00Z</dcterms:created>
  <dcterms:modified xsi:type="dcterms:W3CDTF">2020-01-17T01:39:00Z</dcterms:modified>
</cp:coreProperties>
</file>